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276"/>
        <w:gridCol w:w="4076"/>
      </w:tblGrid>
      <w:tr w:rsidR="00F215EA" w:rsidTr="000520DB">
        <w:tc>
          <w:tcPr>
            <w:tcW w:w="4219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СОГЛАСОВАНО:</w:t>
            </w:r>
          </w:p>
          <w:p w:rsidR="00F215EA" w:rsidRDefault="00F215EA" w:rsidP="000520DB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6" w:type="dxa"/>
          </w:tcPr>
          <w:p w:rsidR="00F215EA" w:rsidRDefault="00F215EA" w:rsidP="000520DB">
            <w:pPr>
              <w:spacing w:after="0" w:line="240" w:lineRule="auto"/>
              <w:ind w:firstLine="601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УТВЕРЖДАЮ:</w:t>
            </w:r>
          </w:p>
        </w:tc>
      </w:tr>
      <w:tr w:rsidR="00F215EA" w:rsidTr="000520DB">
        <w:tc>
          <w:tcPr>
            <w:tcW w:w="4219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Руководитель ИЦ «Теплотехник»</w:t>
            </w:r>
          </w:p>
          <w:p w:rsidR="00F215EA" w:rsidRDefault="00F215EA" w:rsidP="000520DB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  <w:p w:rsidR="00F215EA" w:rsidRDefault="00F215EA" w:rsidP="000520DB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6" w:type="dxa"/>
          </w:tcPr>
          <w:p w:rsidR="00F215EA" w:rsidRDefault="00F215EA" w:rsidP="000520DB">
            <w:pPr>
              <w:spacing w:after="0" w:line="240" w:lineRule="auto"/>
              <w:ind w:left="34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</w:tc>
      </w:tr>
      <w:tr w:rsidR="00F215EA" w:rsidTr="000520DB">
        <w:trPr>
          <w:trHeight w:val="592"/>
        </w:trPr>
        <w:tc>
          <w:tcPr>
            <w:tcW w:w="4219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  <w:p w:rsidR="00F215EA" w:rsidRDefault="00F215EA" w:rsidP="000520DB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_________________ Н.В. Аржиновская</w:t>
            </w:r>
          </w:p>
        </w:tc>
        <w:tc>
          <w:tcPr>
            <w:tcW w:w="1276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6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  <w:p w:rsidR="00F215EA" w:rsidRDefault="00F215EA" w:rsidP="000520DB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__________________ В.В. Мартынов</w:t>
            </w:r>
          </w:p>
        </w:tc>
      </w:tr>
    </w:tbl>
    <w:p w:rsidR="00F215EA" w:rsidRDefault="00F215EA" w:rsidP="00F215EA">
      <w:pPr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 на поставку товара</w:t>
      </w:r>
    </w:p>
    <w:p w:rsidR="00F215EA" w:rsidRDefault="00F215EA" w:rsidP="00F215EA">
      <w:pPr>
        <w:spacing w:before="240"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 для проведения: ГКПЗ ОАО «ВТИ» на 2024 год (лот № 3)</w:t>
      </w:r>
    </w:p>
    <w:p w:rsidR="00F215EA" w:rsidRDefault="00F215EA" w:rsidP="00F215EA">
      <w:pPr>
        <w:pStyle w:val="Default"/>
        <w:ind w:firstLine="709"/>
        <w:jc w:val="both"/>
      </w:pPr>
      <w:r>
        <w:t>Наименование закупки: поставка анализатора серы Спектроскан SE модификации SUL-01</w:t>
      </w:r>
    </w:p>
    <w:p w:rsidR="00F215EA" w:rsidRDefault="00F215EA" w:rsidP="00F215EA">
      <w:pPr>
        <w:spacing w:before="12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Начальная (предельная) стоимость товара: 2 011 111 (два миллиона одинадцать тысяч сто одиннадцать) рублей 11 копеек без НДС</w:t>
      </w:r>
    </w:p>
    <w:p w:rsidR="00F215EA" w:rsidRDefault="00F215EA" w:rsidP="00F215EA">
      <w:pPr>
        <w:spacing w:before="238" w:after="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F215EA" w:rsidRDefault="00F215EA" w:rsidP="00F215EA">
      <w:pPr>
        <w:spacing w:after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</w:rPr>
        <w:t>поставка анализатора серы Спектроскан SE модификации SUL-01</w:t>
      </w:r>
    </w:p>
    <w:p w:rsidR="00F215EA" w:rsidRDefault="00F215EA" w:rsidP="00F215EA">
      <w:pPr>
        <w:pStyle w:val="a7"/>
        <w:numPr>
          <w:ilvl w:val="0"/>
          <w:numId w:val="9"/>
        </w:numPr>
        <w:tabs>
          <w:tab w:val="clear" w:pos="0"/>
          <w:tab w:val="num" w:pos="567"/>
          <w:tab w:val="left" w:pos="709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требования:</w:t>
      </w:r>
    </w:p>
    <w:p w:rsidR="00F215EA" w:rsidRDefault="00F215EA" w:rsidP="00F215EA">
      <w:pPr>
        <w:pStyle w:val="a7"/>
        <w:widowControl w:val="0"/>
        <w:numPr>
          <w:ilvl w:val="1"/>
          <w:numId w:val="10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функциональным характеристикам:</w:t>
      </w:r>
    </w:p>
    <w:p w:rsidR="00F215EA" w:rsidRDefault="00F215EA" w:rsidP="00F215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Анализатор предназначен для определения массовой доли серы в нефти и нефтепродуктах, таких как дизельное топливо, бензин, керосин, смазочные масла, мазут, гидравлические масла, реактивное топливо и любые дистиллятные нефтепродукты, в соответствии с ГОСТ Р 51947-2002, ГОСТ 32139-2019, ГОСТ Р ЕН ИСО 20847-2010 / ГОСТ ISO 20847-2014, ASTM D4294. </w:t>
      </w:r>
    </w:p>
    <w:p w:rsidR="00F215EA" w:rsidRDefault="00F215EA" w:rsidP="00F215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Реализует арбитражный метод измерения массовой доли серы для нефти, мазута и судового топлива, а также используется для оперативного контроля содержания серы в автомобильных топливах 4 и 5 класса, газойлях, битумах, смазочных маслах, их компонентах и других нефтепродуктах.</w:t>
      </w:r>
    </w:p>
    <w:p w:rsidR="00F215EA" w:rsidRDefault="00F215EA" w:rsidP="00F215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Анализатор серы должен обеспечивать:</w:t>
      </w:r>
    </w:p>
    <w:p w:rsidR="00F215EA" w:rsidRDefault="00F215EA" w:rsidP="00F215EA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автоматическое вычисление содержания серы в образце;</w:t>
      </w:r>
    </w:p>
    <w:p w:rsidR="00F215EA" w:rsidRDefault="00F215EA" w:rsidP="00F215EA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статистическую обработку данных (вычисление среднего значения, стандартного отклонения, относительного стандартного отклонения);</w:t>
      </w:r>
    </w:p>
    <w:p w:rsidR="00F215EA" w:rsidRDefault="00F215EA" w:rsidP="00F215EA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вывод результатов измерения содержания серы и параметров определения на символьно-графический ЖК-дисплей.</w:t>
      </w:r>
    </w:p>
    <w:p w:rsidR="00F215EA" w:rsidRDefault="00F215EA" w:rsidP="00F215EA">
      <w:pPr>
        <w:pStyle w:val="a7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215EA" w:rsidRDefault="00F215EA" w:rsidP="00F215EA">
      <w:pPr>
        <w:pStyle w:val="a7"/>
        <w:widowControl w:val="0"/>
        <w:numPr>
          <w:ilvl w:val="1"/>
          <w:numId w:val="10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Метрологические и технические характеристики:</w:t>
      </w: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2977"/>
      </w:tblGrid>
      <w:tr w:rsidR="00F215EA" w:rsidTr="000520DB">
        <w:trPr>
          <w:trHeight w:val="92"/>
        </w:trPr>
        <w:tc>
          <w:tcPr>
            <w:tcW w:w="6521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1. Предел обнаружения при измерении серы, не более, мг/кг (млн-1) </w:t>
            </w:r>
          </w:p>
        </w:tc>
        <w:tc>
          <w:tcPr>
            <w:tcW w:w="2977" w:type="dxa"/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F215EA" w:rsidTr="000520DB">
        <w:trPr>
          <w:trHeight w:val="84"/>
        </w:trPr>
        <w:tc>
          <w:tcPr>
            <w:tcW w:w="6521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 Диапазон измерений массовой доли серы, % </w:t>
            </w:r>
          </w:p>
        </w:tc>
        <w:tc>
          <w:tcPr>
            <w:tcW w:w="2977" w:type="dxa"/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0,00030-5,0 </w:t>
            </w:r>
          </w:p>
        </w:tc>
      </w:tr>
      <w:tr w:rsidR="00F215EA" w:rsidTr="000520DB">
        <w:trPr>
          <w:trHeight w:val="188"/>
        </w:trPr>
        <w:tc>
          <w:tcPr>
            <w:tcW w:w="6521" w:type="dxa"/>
            <w:tcBorders>
              <w:bottom w:val="single" w:sz="4" w:space="0" w:color="auto"/>
            </w:tcBorders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3. Пределы допускаемой абсолютной погрешности, %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±(0,04·Х+0,00017), </w:t>
            </w:r>
          </w:p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где Х-массовая доля серы, % </w:t>
            </w:r>
          </w:p>
        </w:tc>
      </w:tr>
      <w:tr w:rsidR="00F215EA" w:rsidTr="000520DB">
        <w:trPr>
          <w:trHeight w:val="188"/>
        </w:trPr>
        <w:tc>
          <w:tcPr>
            <w:tcW w:w="6521" w:type="dxa"/>
            <w:tcBorders>
              <w:bottom w:val="none" w:sz="4" w:space="0" w:color="000000"/>
            </w:tcBorders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Относительная погрешность, δ:</w:t>
            </w:r>
          </w:p>
        </w:tc>
        <w:tc>
          <w:tcPr>
            <w:tcW w:w="2977" w:type="dxa"/>
            <w:tcBorders>
              <w:bottom w:val="none" w:sz="4" w:space="0" w:color="000000"/>
            </w:tcBorders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215EA" w:rsidTr="000520DB">
        <w:trPr>
          <w:trHeight w:val="110"/>
        </w:trPr>
        <w:tc>
          <w:tcPr>
            <w:tcW w:w="6521" w:type="dxa"/>
            <w:tcBorders>
              <w:top w:val="none" w:sz="4" w:space="0" w:color="000000"/>
              <w:bottom w:val="none" w:sz="4" w:space="0" w:color="000000"/>
            </w:tcBorders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на 0,0005 % </w:t>
            </w:r>
          </w:p>
        </w:tc>
        <w:tc>
          <w:tcPr>
            <w:tcW w:w="2977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38,0 % </w:t>
            </w:r>
          </w:p>
        </w:tc>
      </w:tr>
      <w:tr w:rsidR="00F215EA" w:rsidTr="000520DB">
        <w:trPr>
          <w:trHeight w:val="110"/>
        </w:trPr>
        <w:tc>
          <w:tcPr>
            <w:tcW w:w="6521" w:type="dxa"/>
            <w:tcBorders>
              <w:top w:val="none" w:sz="4" w:space="0" w:color="000000"/>
              <w:bottom w:val="none" w:sz="4" w:space="0" w:color="000000"/>
            </w:tcBorders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на 0,0010 % </w:t>
            </w:r>
          </w:p>
        </w:tc>
        <w:tc>
          <w:tcPr>
            <w:tcW w:w="2977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21,0 % </w:t>
            </w:r>
          </w:p>
        </w:tc>
      </w:tr>
      <w:tr w:rsidR="00F215EA" w:rsidTr="000520DB">
        <w:trPr>
          <w:trHeight w:val="110"/>
        </w:trPr>
        <w:tc>
          <w:tcPr>
            <w:tcW w:w="6521" w:type="dxa"/>
            <w:tcBorders>
              <w:top w:val="none" w:sz="4" w:space="0" w:color="000000"/>
              <w:bottom w:val="none" w:sz="4" w:space="0" w:color="000000"/>
            </w:tcBorders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на 0,0050 % </w:t>
            </w:r>
          </w:p>
        </w:tc>
        <w:tc>
          <w:tcPr>
            <w:tcW w:w="2977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7,4 % </w:t>
            </w:r>
          </w:p>
        </w:tc>
      </w:tr>
      <w:tr w:rsidR="00F215EA" w:rsidTr="000520DB">
        <w:trPr>
          <w:trHeight w:val="110"/>
        </w:trPr>
        <w:tc>
          <w:tcPr>
            <w:tcW w:w="6521" w:type="dxa"/>
            <w:tcBorders>
              <w:top w:val="none" w:sz="4" w:space="0" w:color="000000"/>
              <w:bottom w:val="none" w:sz="4" w:space="0" w:color="000000"/>
            </w:tcBorders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на 0,0500 % </w:t>
            </w:r>
          </w:p>
        </w:tc>
        <w:tc>
          <w:tcPr>
            <w:tcW w:w="2977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4,3 % </w:t>
            </w:r>
          </w:p>
        </w:tc>
      </w:tr>
      <w:tr w:rsidR="00F215EA" w:rsidTr="000520DB">
        <w:trPr>
          <w:trHeight w:val="246"/>
        </w:trPr>
        <w:tc>
          <w:tcPr>
            <w:tcW w:w="6521" w:type="dxa"/>
            <w:tcBorders>
              <w:top w:val="none" w:sz="4" w:space="0" w:color="000000"/>
              <w:bottom w:val="single" w:sz="4" w:space="0" w:color="auto"/>
            </w:tcBorders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на 0,5000 % </w:t>
            </w:r>
          </w:p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-на5% </w:t>
            </w:r>
          </w:p>
        </w:tc>
        <w:tc>
          <w:tcPr>
            <w:tcW w:w="2977" w:type="dxa"/>
            <w:tcBorders>
              <w:top w:val="none" w:sz="4" w:space="0" w:color="000000"/>
              <w:bottom w:val="single" w:sz="4" w:space="0" w:color="auto"/>
            </w:tcBorders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4,0% </w:t>
            </w:r>
          </w:p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4.0% </w:t>
            </w:r>
          </w:p>
        </w:tc>
      </w:tr>
      <w:tr w:rsidR="00F215EA" w:rsidTr="000520DB">
        <w:trPr>
          <w:trHeight w:val="246"/>
        </w:trPr>
        <w:tc>
          <w:tcPr>
            <w:tcW w:w="6521" w:type="dxa"/>
            <w:tcBorders>
              <w:bottom w:val="none" w:sz="4" w:space="0" w:color="000000"/>
            </w:tcBorders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5. Предел повторяемости* результатов единичных измерений (P=0,95), %, в диапазоне измерений, %:</w:t>
            </w:r>
          </w:p>
        </w:tc>
        <w:tc>
          <w:tcPr>
            <w:tcW w:w="2977" w:type="dxa"/>
            <w:tcBorders>
              <w:bottom w:val="none" w:sz="4" w:space="0" w:color="000000"/>
            </w:tcBorders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215EA" w:rsidTr="000520DB">
        <w:trPr>
          <w:trHeight w:val="84"/>
        </w:trPr>
        <w:tc>
          <w:tcPr>
            <w:tcW w:w="6521" w:type="dxa"/>
            <w:tcBorders>
              <w:top w:val="none" w:sz="4" w:space="0" w:color="000000"/>
              <w:bottom w:val="none" w:sz="4" w:space="0" w:color="000000"/>
            </w:tcBorders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от 0,00030 до 0,100 включительно, % </w:t>
            </w:r>
          </w:p>
        </w:tc>
        <w:tc>
          <w:tcPr>
            <w:tcW w:w="2977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0,0272·Х+0,000140 </w:t>
            </w:r>
          </w:p>
        </w:tc>
      </w:tr>
      <w:tr w:rsidR="00F215EA" w:rsidTr="000520DB">
        <w:trPr>
          <w:trHeight w:val="84"/>
        </w:trPr>
        <w:tc>
          <w:tcPr>
            <w:tcW w:w="6521" w:type="dxa"/>
            <w:tcBorders>
              <w:top w:val="none" w:sz="4" w:space="0" w:color="000000"/>
              <w:bottom w:val="none" w:sz="4" w:space="0" w:color="000000"/>
            </w:tcBorders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свыше 0,100 до 1,00 включительно, % </w:t>
            </w:r>
          </w:p>
        </w:tc>
        <w:tc>
          <w:tcPr>
            <w:tcW w:w="2977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0,0146·Х+0,0014 </w:t>
            </w:r>
          </w:p>
        </w:tc>
      </w:tr>
      <w:tr w:rsidR="00F215EA" w:rsidTr="000520DB">
        <w:trPr>
          <w:trHeight w:val="84"/>
        </w:trPr>
        <w:tc>
          <w:tcPr>
            <w:tcW w:w="6521" w:type="dxa"/>
            <w:tcBorders>
              <w:top w:val="none" w:sz="4" w:space="0" w:color="000000"/>
              <w:bottom w:val="none" w:sz="4" w:space="0" w:color="000000"/>
            </w:tcBorders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свыше 1,00 до 5,00 % </w:t>
            </w:r>
          </w:p>
        </w:tc>
        <w:tc>
          <w:tcPr>
            <w:tcW w:w="2977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0,0075·Х+0,0085 </w:t>
            </w:r>
          </w:p>
        </w:tc>
      </w:tr>
      <w:tr w:rsidR="00F215EA" w:rsidTr="000520DB">
        <w:trPr>
          <w:trHeight w:val="84"/>
        </w:trPr>
        <w:tc>
          <w:tcPr>
            <w:tcW w:w="6521" w:type="dxa"/>
            <w:tcBorders>
              <w:top w:val="none" w:sz="4" w:space="0" w:color="000000"/>
            </w:tcBorders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*Модуль разности между двумя последовательными измерениями массовой доли серы в двух образцах одной пробы, %</w:t>
            </w:r>
          </w:p>
        </w:tc>
        <w:tc>
          <w:tcPr>
            <w:tcW w:w="2977" w:type="dxa"/>
            <w:tcBorders>
              <w:top w:val="none" w:sz="4" w:space="0" w:color="000000"/>
            </w:tcBorders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215EA" w:rsidTr="000520DB">
        <w:trPr>
          <w:trHeight w:val="188"/>
        </w:trPr>
        <w:tc>
          <w:tcPr>
            <w:tcW w:w="6521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6. Предел допускаемого относительного СКО случайной составляющей погрешности (для массовой доли серы 0,05%), % </w:t>
            </w:r>
          </w:p>
        </w:tc>
        <w:tc>
          <w:tcPr>
            <w:tcW w:w="2977" w:type="dxa"/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0,5 </w:t>
            </w:r>
          </w:p>
        </w:tc>
      </w:tr>
      <w:tr w:rsidR="00F215EA" w:rsidTr="000520DB">
        <w:trPr>
          <w:trHeight w:val="84"/>
        </w:trPr>
        <w:tc>
          <w:tcPr>
            <w:tcW w:w="6521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7. Напряжение рентгеновской трубки, кВ, не более </w:t>
            </w:r>
          </w:p>
        </w:tc>
        <w:tc>
          <w:tcPr>
            <w:tcW w:w="2977" w:type="dxa"/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</w:tr>
      <w:tr w:rsidR="00F215EA" w:rsidTr="000520DB">
        <w:trPr>
          <w:trHeight w:val="84"/>
        </w:trPr>
        <w:tc>
          <w:tcPr>
            <w:tcW w:w="6521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 xml:space="preserve">. Система охлаждения </w:t>
            </w:r>
          </w:p>
        </w:tc>
        <w:tc>
          <w:tcPr>
            <w:tcW w:w="2977" w:type="dxa"/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воздушная </w:t>
            </w:r>
          </w:p>
        </w:tc>
      </w:tr>
      <w:tr w:rsidR="00F215EA" w:rsidTr="000520DB">
        <w:trPr>
          <w:trHeight w:val="84"/>
        </w:trPr>
        <w:tc>
          <w:tcPr>
            <w:tcW w:w="6521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9. Напряжение питания от сети переменного тока частотой (50 ± 1) Гц, В </w:t>
            </w:r>
          </w:p>
        </w:tc>
        <w:tc>
          <w:tcPr>
            <w:tcW w:w="2977" w:type="dxa"/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195 до 253 </w:t>
            </w:r>
          </w:p>
        </w:tc>
      </w:tr>
      <w:tr w:rsidR="00F215EA" w:rsidTr="000520DB">
        <w:trPr>
          <w:trHeight w:val="84"/>
        </w:trPr>
        <w:tc>
          <w:tcPr>
            <w:tcW w:w="6521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10. Мощность, потребляемая анализатором, ВА, не более </w:t>
            </w:r>
          </w:p>
        </w:tc>
        <w:tc>
          <w:tcPr>
            <w:tcW w:w="2977" w:type="dxa"/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 </w:t>
            </w:r>
          </w:p>
        </w:tc>
      </w:tr>
      <w:tr w:rsidR="00F215EA" w:rsidTr="000520DB">
        <w:trPr>
          <w:trHeight w:val="84"/>
        </w:trPr>
        <w:tc>
          <w:tcPr>
            <w:tcW w:w="6521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11. Габаритные размеры спектрометрического блока (В×Ш×Д), мм, не более </w:t>
            </w:r>
          </w:p>
        </w:tc>
        <w:tc>
          <w:tcPr>
            <w:tcW w:w="2977" w:type="dxa"/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185x320x400 </w:t>
            </w:r>
          </w:p>
        </w:tc>
      </w:tr>
      <w:tr w:rsidR="00F215EA" w:rsidTr="000520DB">
        <w:trPr>
          <w:trHeight w:val="84"/>
        </w:trPr>
        <w:tc>
          <w:tcPr>
            <w:tcW w:w="6521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. Масса, кг, не более </w:t>
            </w:r>
          </w:p>
        </w:tc>
        <w:tc>
          <w:tcPr>
            <w:tcW w:w="2977" w:type="dxa"/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8,5 </w:t>
            </w:r>
          </w:p>
        </w:tc>
      </w:tr>
      <w:tr w:rsidR="00F215EA" w:rsidTr="000520DB">
        <w:trPr>
          <w:trHeight w:val="84"/>
        </w:trPr>
        <w:tc>
          <w:tcPr>
            <w:tcW w:w="6521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 xml:space="preserve">. Пробозагрузочное устройство </w:t>
            </w:r>
          </w:p>
        </w:tc>
        <w:tc>
          <w:tcPr>
            <w:tcW w:w="2977" w:type="dxa"/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боковое, на один образец </w:t>
            </w:r>
          </w:p>
        </w:tc>
      </w:tr>
      <w:tr w:rsidR="00F215EA" w:rsidTr="000520DB">
        <w:trPr>
          <w:trHeight w:val="84"/>
        </w:trPr>
        <w:tc>
          <w:tcPr>
            <w:tcW w:w="6521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14. Положение образца в процессе измерений </w:t>
            </w:r>
          </w:p>
        </w:tc>
        <w:tc>
          <w:tcPr>
            <w:tcW w:w="2977" w:type="dxa"/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вертикальное </w:t>
            </w:r>
          </w:p>
        </w:tc>
      </w:tr>
      <w:tr w:rsidR="00F215EA" w:rsidTr="000520DB">
        <w:trPr>
          <w:trHeight w:val="93"/>
        </w:trPr>
        <w:tc>
          <w:tcPr>
            <w:tcW w:w="6521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 xml:space="preserve">. Кюветы </w:t>
            </w:r>
          </w:p>
        </w:tc>
        <w:tc>
          <w:tcPr>
            <w:tcW w:w="2977" w:type="dxa"/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ambria Math" w:hAnsi="Cambria Math" w:cs="Cambria Math"/>
                <w:color w:val="000000"/>
              </w:rPr>
              <w:t>∅</w:t>
            </w:r>
            <w:r>
              <w:rPr>
                <w:rFonts w:ascii="Times New Roman" w:hAnsi="Times New Roman" w:cs="Times New Roman"/>
                <w:color w:val="000000"/>
              </w:rPr>
              <w:t xml:space="preserve">32 мм, 8 см3, вентилируемые </w:t>
            </w:r>
          </w:p>
        </w:tc>
      </w:tr>
      <w:tr w:rsidR="00F215EA" w:rsidTr="000520DB">
        <w:trPr>
          <w:trHeight w:val="188"/>
        </w:trPr>
        <w:tc>
          <w:tcPr>
            <w:tcW w:w="6521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16. Устройства, обеспечивающие ввод, сбор, обработку, отображение и вывод на печать результатов измерений </w:t>
            </w:r>
          </w:p>
        </w:tc>
        <w:tc>
          <w:tcPr>
            <w:tcW w:w="2977" w:type="dxa"/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встроенные компьютер, Touch screen, принтер </w:t>
            </w:r>
          </w:p>
        </w:tc>
      </w:tr>
      <w:tr w:rsidR="00F215EA" w:rsidTr="000520DB">
        <w:trPr>
          <w:trHeight w:val="84"/>
        </w:trPr>
        <w:tc>
          <w:tcPr>
            <w:tcW w:w="6521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 xml:space="preserve">. Количество уровней доступа пользователей </w:t>
            </w:r>
          </w:p>
        </w:tc>
        <w:tc>
          <w:tcPr>
            <w:tcW w:w="2977" w:type="dxa"/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</w:tr>
      <w:tr w:rsidR="00F215EA" w:rsidTr="000520DB">
        <w:trPr>
          <w:trHeight w:val="84"/>
        </w:trPr>
        <w:tc>
          <w:tcPr>
            <w:tcW w:w="6521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18. Возможность сохранения результатов на USB-флеш-накопитель </w:t>
            </w:r>
          </w:p>
        </w:tc>
        <w:tc>
          <w:tcPr>
            <w:tcW w:w="2977" w:type="dxa"/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встроенная </w:t>
            </w:r>
          </w:p>
        </w:tc>
      </w:tr>
      <w:tr w:rsidR="00F215EA" w:rsidTr="000520DB">
        <w:trPr>
          <w:trHeight w:val="84"/>
        </w:trPr>
        <w:tc>
          <w:tcPr>
            <w:tcW w:w="6521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 xml:space="preserve">. Возможность подключения внешнего ПК </w:t>
            </w:r>
          </w:p>
        </w:tc>
        <w:tc>
          <w:tcPr>
            <w:tcW w:w="2977" w:type="dxa"/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Ethernet </w:t>
            </w:r>
          </w:p>
        </w:tc>
      </w:tr>
      <w:tr w:rsidR="00F215EA" w:rsidTr="000520DB">
        <w:trPr>
          <w:trHeight w:val="84"/>
        </w:trPr>
        <w:tc>
          <w:tcPr>
            <w:tcW w:w="6521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20. Возможность подключения к внешним компьютерным сетям </w:t>
            </w:r>
          </w:p>
        </w:tc>
        <w:tc>
          <w:tcPr>
            <w:tcW w:w="2977" w:type="dxa"/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Ethernet </w:t>
            </w:r>
          </w:p>
        </w:tc>
      </w:tr>
      <w:tr w:rsidR="00F215EA" w:rsidTr="000520DB">
        <w:trPr>
          <w:trHeight w:val="84"/>
        </w:trPr>
        <w:tc>
          <w:tcPr>
            <w:tcW w:w="6521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21.Возможность подключения сканера штрих-кодов </w:t>
            </w:r>
          </w:p>
        </w:tc>
        <w:tc>
          <w:tcPr>
            <w:tcW w:w="2977" w:type="dxa"/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реализована </w:t>
            </w:r>
          </w:p>
        </w:tc>
      </w:tr>
      <w:tr w:rsidR="00F215EA" w:rsidTr="000520DB">
        <w:trPr>
          <w:trHeight w:val="292"/>
        </w:trPr>
        <w:tc>
          <w:tcPr>
            <w:tcW w:w="6521" w:type="dxa"/>
          </w:tcPr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22. Условия эксплуатации: </w:t>
            </w:r>
          </w:p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диапазон температуры окружающего воздуха, °С </w:t>
            </w:r>
          </w:p>
          <w:p w:rsidR="00F215EA" w:rsidRDefault="00F215EA" w:rsidP="000520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значение относительная влажность при 25 °С, %, не более </w:t>
            </w:r>
          </w:p>
        </w:tc>
        <w:tc>
          <w:tcPr>
            <w:tcW w:w="2977" w:type="dxa"/>
            <w:vAlign w:val="center"/>
          </w:tcPr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+10 до +35 </w:t>
            </w:r>
          </w:p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F215EA" w:rsidRDefault="00F215EA" w:rsidP="000520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 </w:t>
            </w:r>
          </w:p>
        </w:tc>
      </w:tr>
    </w:tbl>
    <w:p w:rsidR="00F215EA" w:rsidRDefault="00F215EA" w:rsidP="00F215EA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15EA" w:rsidRDefault="00F215EA" w:rsidP="00F215EA">
      <w:pPr>
        <w:pStyle w:val="a7"/>
        <w:widowControl w:val="0"/>
        <w:numPr>
          <w:ilvl w:val="1"/>
          <w:numId w:val="10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качественным характеристикам:</w:t>
      </w:r>
    </w:p>
    <w:tbl>
      <w:tblPr>
        <w:tblStyle w:val="a6"/>
        <w:tblW w:w="9498" w:type="dxa"/>
        <w:tblInd w:w="108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F215EA" w:rsidTr="000520DB">
        <w:tc>
          <w:tcPr>
            <w:tcW w:w="4536" w:type="dxa"/>
            <w:vAlign w:val="center"/>
          </w:tcPr>
          <w:p w:rsidR="00F215EA" w:rsidRDefault="00F215EA" w:rsidP="00052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средней наработки на отказ</w:t>
            </w:r>
          </w:p>
        </w:tc>
        <w:tc>
          <w:tcPr>
            <w:tcW w:w="4962" w:type="dxa"/>
            <w:vAlign w:val="center"/>
          </w:tcPr>
          <w:p w:rsidR="00F215EA" w:rsidRDefault="00F215EA" w:rsidP="00052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 ч</w:t>
            </w:r>
          </w:p>
        </w:tc>
      </w:tr>
      <w:tr w:rsidR="00F215EA" w:rsidTr="000520DB">
        <w:tc>
          <w:tcPr>
            <w:tcW w:w="4536" w:type="dxa"/>
            <w:vAlign w:val="center"/>
          </w:tcPr>
          <w:p w:rsidR="00F215EA" w:rsidRDefault="00F215EA" w:rsidP="00052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службы</w:t>
            </w:r>
          </w:p>
        </w:tc>
        <w:tc>
          <w:tcPr>
            <w:tcW w:w="4962" w:type="dxa"/>
            <w:vAlign w:val="center"/>
          </w:tcPr>
          <w:p w:rsidR="00F215EA" w:rsidRDefault="00F215EA" w:rsidP="00052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 лет</w:t>
            </w:r>
          </w:p>
        </w:tc>
      </w:tr>
    </w:tbl>
    <w:p w:rsidR="00F215EA" w:rsidRDefault="00F215EA" w:rsidP="00F215EA">
      <w:pPr>
        <w:pStyle w:val="a7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215EA" w:rsidRDefault="00F215EA" w:rsidP="00F215EA">
      <w:pPr>
        <w:pStyle w:val="a7"/>
        <w:widowControl w:val="0"/>
        <w:numPr>
          <w:ilvl w:val="1"/>
          <w:numId w:val="10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комплектации: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985"/>
      </w:tblGrid>
      <w:tr w:rsidR="00F215EA" w:rsidTr="000520DB">
        <w:trPr>
          <w:trHeight w:val="2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В комплекте, шт</w:t>
            </w:r>
          </w:p>
        </w:tc>
      </w:tr>
      <w:tr w:rsidR="00F215EA" w:rsidTr="000520DB">
        <w:trPr>
          <w:trHeight w:val="232"/>
        </w:trPr>
        <w:tc>
          <w:tcPr>
            <w:tcW w:w="751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F215EA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Анализатор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215EA" w:rsidTr="000520DB">
        <w:trPr>
          <w:trHeight w:val="232"/>
        </w:trPr>
        <w:tc>
          <w:tcPr>
            <w:tcW w:w="751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F215EA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Расходные материалы: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F215EA" w:rsidTr="000520DB">
        <w:trPr>
          <w:trHeight w:val="232"/>
        </w:trPr>
        <w:tc>
          <w:tcPr>
            <w:tcW w:w="7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Чековая лента термочувствительная, 58 мм дл.24 м (рулон) 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F215EA" w:rsidTr="000520DB">
        <w:trPr>
          <w:trHeight w:val="232"/>
        </w:trPr>
        <w:tc>
          <w:tcPr>
            <w:tcW w:w="7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Пленка полиэтилентерефталатная, 3 мкм, рулон 100 м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215EA" w:rsidTr="000520DB">
        <w:trPr>
          <w:trHeight w:val="232"/>
        </w:trPr>
        <w:tc>
          <w:tcPr>
            <w:tcW w:w="7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Пипетка для переноса жидкостей (Пастера) одноразовая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F215EA" w:rsidTr="000520DB">
        <w:trPr>
          <w:trHeight w:val="232"/>
        </w:trPr>
        <w:tc>
          <w:tcPr>
            <w:tcW w:w="9498" w:type="dxa"/>
            <w:gridSpan w:val="3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F215EA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 стандартных образцов и материалов для градуировки и поверки анализатора:</w:t>
            </w:r>
          </w:p>
        </w:tc>
      </w:tr>
      <w:tr w:rsidR="00F215EA" w:rsidTr="000520DB">
        <w:trPr>
          <w:trHeight w:val="232"/>
        </w:trPr>
        <w:tc>
          <w:tcPr>
            <w:tcW w:w="7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Минеральное масло с низким содержанием серы, 100мл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215EA" w:rsidTr="000520DB">
        <w:trPr>
          <w:trHeight w:val="232"/>
        </w:trPr>
        <w:tc>
          <w:tcPr>
            <w:tcW w:w="7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стандартных образцов массовой доли серы в минеральном масле, 100 мл каждый с содержанием: 3,0 млн</w:t>
            </w:r>
            <w:r>
              <w:rPr>
                <w:rFonts w:ascii="Times New Roman" w:hAnsi="Times New Roman" w:cs="Times New Roman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</w:rPr>
              <w:t>, 500 млн</w:t>
            </w:r>
            <w:r>
              <w:rPr>
                <w:rFonts w:ascii="Times New Roman" w:hAnsi="Times New Roman" w:cs="Times New Roman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  <w:t>1000 млн</w:t>
            </w:r>
            <w:r>
              <w:rPr>
                <w:rFonts w:ascii="Times New Roman" w:hAnsi="Times New Roman" w:cs="Times New Roman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</w:rPr>
              <w:t>, 1,0%, 5,0%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215EA" w:rsidTr="000520DB">
        <w:trPr>
          <w:trHeight w:val="232"/>
        </w:trPr>
        <w:tc>
          <w:tcPr>
            <w:tcW w:w="9498" w:type="dxa"/>
            <w:gridSpan w:val="3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F215EA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 принадлежностей:</w:t>
            </w:r>
          </w:p>
        </w:tc>
      </w:tr>
      <w:tr w:rsidR="00F215EA" w:rsidTr="000520DB">
        <w:trPr>
          <w:trHeight w:val="232"/>
        </w:trPr>
        <w:tc>
          <w:tcPr>
            <w:tcW w:w="7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Кювета вентилируемая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F215EA" w:rsidTr="000520DB">
        <w:trPr>
          <w:trHeight w:val="232"/>
        </w:trPr>
        <w:tc>
          <w:tcPr>
            <w:tcW w:w="7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Приспособление для разборки кювет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215EA" w:rsidTr="000520DB">
        <w:trPr>
          <w:trHeight w:val="232"/>
        </w:trPr>
        <w:tc>
          <w:tcPr>
            <w:tcW w:w="7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4.3.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Толкатель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215EA" w:rsidTr="000520DB">
        <w:trPr>
          <w:trHeight w:val="232"/>
        </w:trPr>
        <w:tc>
          <w:tcPr>
            <w:tcW w:w="7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Контрольный образец Mo 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F215EA" w:rsidRDefault="00F215EA" w:rsidP="00F215EA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215EA" w:rsidRDefault="00F215EA" w:rsidP="00F215EA">
      <w:pPr>
        <w:pStyle w:val="a7"/>
        <w:widowControl w:val="0"/>
        <w:numPr>
          <w:ilvl w:val="1"/>
          <w:numId w:val="10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комплекту технической документации: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1985"/>
      </w:tblGrid>
      <w:tr w:rsidR="00F215EA" w:rsidTr="000520D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Руководство по эксплуатации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215EA" w:rsidTr="000520D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Паспорт (оригинал)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215EA" w:rsidTr="000520D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Методика поверки МП-93-251-2019 (копия)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215EA" w:rsidTr="000520D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Свидетельство о поверке на бумажном носителе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215EA" w:rsidTr="000520D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Свидетельство об утверждения типа СИ с приложением «Описание типа СИ» (копия)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215EA" w:rsidTr="000520D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Экспертное заключение по радиационной безопасности (копия)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215EA" w:rsidTr="000520D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Декларация о соответствии ТР ТС (копия)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215EA" w:rsidTr="000520D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 паспортов СО массовой доли серы в минеральном масле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215EA" w:rsidTr="000520D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Паспорт образца СМ-00-СХ «Минеральное масло с низким содержанием серы»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215EA" w:rsidTr="000520D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Паспорт РА9.700.500 Кювета вентилируемая (оригинал)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215EA" w:rsidTr="000520D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 технических данных пипеток для переноса жидкостей (Пастера) одноразовых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215EA" w:rsidTr="000520D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Паспорт РА6.000.060. Контрольный образец Mo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5EA" w:rsidRDefault="00F215EA" w:rsidP="00052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F215EA" w:rsidRDefault="00F215EA" w:rsidP="00F215EA">
      <w:pPr>
        <w:tabs>
          <w:tab w:val="left" w:pos="426"/>
          <w:tab w:val="left" w:pos="993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Прибор в обязательном порядке должен быть внесен в реестр СИ РФ.</w:t>
      </w:r>
    </w:p>
    <w:p w:rsidR="00F215EA" w:rsidRDefault="00F215EA" w:rsidP="00F215EA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ФЗ «Об обеспечении единства измерений» (Статья 13, часть 1) титратор должен быть обязательно поверен до ввода в эксплуатацию. </w:t>
      </w:r>
    </w:p>
    <w:p w:rsidR="00F215EA" w:rsidRDefault="00F215EA" w:rsidP="00F215EA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Результаты поверки средств измерений должны быть представлены в разделе сведений о результатах поверки средств измерений Федерального информационного фонда по обеспечению единства измерений ФГИС АРШИН. </w:t>
      </w:r>
    </w:p>
    <w:p w:rsidR="00F215EA" w:rsidRDefault="00F215EA" w:rsidP="00F215EA">
      <w:pPr>
        <w:pStyle w:val="a7"/>
        <w:widowControl w:val="0"/>
        <w:numPr>
          <w:ilvl w:val="1"/>
          <w:numId w:val="10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Прибор должен быть изготовлен не ранее 2 кв. 2024 г.</w:t>
      </w:r>
    </w:p>
    <w:p w:rsidR="00F215EA" w:rsidRDefault="00F215EA" w:rsidP="00F215EA">
      <w:pPr>
        <w:pStyle w:val="a7"/>
        <w:widowControl w:val="0"/>
        <w:numPr>
          <w:ilvl w:val="1"/>
          <w:numId w:val="10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поставки – не более 8 недель.</w:t>
      </w:r>
    </w:p>
    <w:p w:rsidR="00F215EA" w:rsidRDefault="00F215EA" w:rsidP="00F215EA">
      <w:pPr>
        <w:pStyle w:val="a7"/>
        <w:widowControl w:val="0"/>
        <w:numPr>
          <w:ilvl w:val="1"/>
          <w:numId w:val="10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поставки аналогичных приборов не предусмотрена.</w:t>
      </w:r>
    </w:p>
    <w:p w:rsidR="00F215EA" w:rsidRDefault="00F215EA" w:rsidP="00F215EA">
      <w:pPr>
        <w:pStyle w:val="a7"/>
        <w:widowControl w:val="0"/>
        <w:numPr>
          <w:ilvl w:val="1"/>
          <w:numId w:val="10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>Гарантийные обязательства должны соответствовать гарантийному сроку Поставщика и составлять не менее 12 месяцев со дня отправки прибора потребителю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color w:val="000000"/>
          <w:sz w:val="24"/>
        </w:rPr>
        <w:t xml:space="preserve"> В случае, если гарантийный срок Поставщика составляет менее 12 месяцев, Поставщик принимает на себя обязательства по дополнительному гарантийному обслуживанию за свой счет, до момента наступления указанного срока</w:t>
      </w:r>
      <w:r>
        <w:rPr>
          <w:rFonts w:ascii="Times New Roman" w:hAnsi="Times New Roman"/>
          <w:sz w:val="24"/>
          <w:szCs w:val="24"/>
        </w:rPr>
        <w:t>.</w:t>
      </w:r>
    </w:p>
    <w:p w:rsidR="00F215EA" w:rsidRDefault="00F215EA" w:rsidP="00F215EA">
      <w:pPr>
        <w:pStyle w:val="a7"/>
        <w:numPr>
          <w:ilvl w:val="0"/>
          <w:numId w:val="9"/>
        </w:numPr>
        <w:tabs>
          <w:tab w:val="clear" w:pos="0"/>
          <w:tab w:val="num" w:pos="567"/>
          <w:tab w:val="left" w:pos="709"/>
        </w:tabs>
        <w:spacing w:before="160" w:after="0" w:line="240" w:lineRule="auto"/>
        <w:ind w:left="720" w:hanging="1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выполнению поставки товара:</w:t>
      </w:r>
    </w:p>
    <w:p w:rsidR="00F215EA" w:rsidRDefault="00F215EA" w:rsidP="00F215EA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sz w:val="24"/>
          <w:szCs w:val="24"/>
          <w:lang w:eastAsia="ru-RU"/>
        </w:rPr>
        <w:t>2.1.</w:t>
      </w:r>
      <w:r>
        <w:rPr>
          <w:rFonts w:ascii="Times New Roman" w:eastAsia="Tahoma" w:hAnsi="Times New Roman" w:cs="Times New Roman"/>
          <w:sz w:val="24"/>
          <w:szCs w:val="24"/>
          <w:lang w:eastAsia="ru-RU"/>
        </w:rPr>
        <w:tab/>
        <w:t>Требования к отгрузке и доставке товара</w:t>
      </w:r>
    </w:p>
    <w:p w:rsidR="00F215EA" w:rsidRDefault="00F215EA" w:rsidP="00F215EA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sz w:val="24"/>
          <w:szCs w:val="24"/>
          <w:lang w:eastAsia="ru-RU"/>
        </w:rPr>
        <w:t>Поставщик направляет Покупателю уведомление об отгрузке прибора.</w:t>
      </w:r>
    </w:p>
    <w:p w:rsidR="00F215EA" w:rsidRDefault="00F215EA" w:rsidP="00F215EA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sz w:val="24"/>
          <w:szCs w:val="24"/>
          <w:lang w:eastAsia="ru-RU"/>
        </w:rPr>
        <w:t xml:space="preserve">Доставка товара должна быть осуществлена по адресу: г. Москва, </w:t>
      </w:r>
      <w:r>
        <w:rPr>
          <w:rFonts w:ascii="Times New Roman" w:eastAsia="Tahoma" w:hAnsi="Times New Roman" w:cs="Times New Roman"/>
          <w:sz w:val="24"/>
          <w:szCs w:val="24"/>
          <w:lang w:eastAsia="ru-RU"/>
        </w:rPr>
        <w:br/>
        <w:t>ул. Ленинская Слобода, дом 23, корпус 3.</w:t>
      </w:r>
    </w:p>
    <w:p w:rsidR="00F215EA" w:rsidRDefault="00F215EA" w:rsidP="00F215EA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sz w:val="24"/>
          <w:szCs w:val="24"/>
          <w:lang w:eastAsia="ru-RU"/>
        </w:rPr>
        <w:t>2.2</w:t>
      </w:r>
      <w:r>
        <w:rPr>
          <w:rFonts w:ascii="Times New Roman" w:eastAsia="Tahoma" w:hAnsi="Times New Roman" w:cs="Times New Roman"/>
          <w:sz w:val="24"/>
          <w:szCs w:val="24"/>
          <w:lang w:eastAsia="ru-RU"/>
        </w:rPr>
        <w:tab/>
        <w:t xml:space="preserve">Требования к таре и упаковке товара: </w:t>
      </w:r>
    </w:p>
    <w:p w:rsidR="00F215EA" w:rsidRDefault="00F215EA" w:rsidP="00F215EA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sz w:val="24"/>
          <w:szCs w:val="24"/>
          <w:lang w:eastAsia="ru-RU"/>
        </w:rPr>
        <w:t xml:space="preserve">Прибор поставляется в упаковке, соответствующей характеру поставляемого Товара.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 </w:t>
      </w:r>
    </w:p>
    <w:p w:rsidR="00F215EA" w:rsidRDefault="00F215EA" w:rsidP="00F215EA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sz w:val="24"/>
          <w:szCs w:val="24"/>
          <w:lang w:eastAsia="ru-RU"/>
        </w:rPr>
        <w:t>2.3.</w:t>
      </w:r>
      <w:r>
        <w:rPr>
          <w:rFonts w:ascii="Times New Roman" w:eastAsia="Tahoma" w:hAnsi="Times New Roman" w:cs="Times New Roman"/>
          <w:sz w:val="24"/>
          <w:szCs w:val="24"/>
          <w:lang w:eastAsia="ru-RU"/>
        </w:rPr>
        <w:tab/>
        <w:t>Требования к приёмке товара:</w:t>
      </w:r>
    </w:p>
    <w:p w:rsidR="00F215EA" w:rsidRDefault="00F215EA" w:rsidP="00F215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Приемка товара осуществляется на территории Покупателя по адресу: г. Москва, </w:t>
      </w:r>
      <w:r>
        <w:rPr>
          <w:rFonts w:ascii="Times New Roman" w:hAnsi="Times New Roman"/>
          <w:sz w:val="24"/>
        </w:rPr>
        <w:t xml:space="preserve">ул. </w:t>
      </w:r>
      <w:r>
        <w:rPr>
          <w:rFonts w:ascii="Times New Roman" w:eastAsia="Tahoma" w:hAnsi="Times New Roman" w:cs="Times New Roman"/>
          <w:sz w:val="24"/>
          <w:szCs w:val="24"/>
          <w:lang w:eastAsia="ru-RU"/>
        </w:rPr>
        <w:t>ул. Ленинская Слобода, дом 23, корпус 3 и</w:t>
      </w:r>
      <w:r>
        <w:rPr>
          <w:rFonts w:ascii="Times New Roman" w:hAnsi="Times New Roman"/>
          <w:color w:val="000000"/>
          <w:sz w:val="24"/>
        </w:rPr>
        <w:t xml:space="preserve"> оформляется товарной накладной (ТОРГ-12) или УПД, подписываемой уполномоченными представителями сторон.</w:t>
      </w:r>
    </w:p>
    <w:p w:rsidR="00F215EA" w:rsidRDefault="00F215EA" w:rsidP="00F215E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Поставщик выполняет пуско-наладочные работы, проводит инструктаж персонала Покупателя, после чего с</w:t>
      </w:r>
      <w:r>
        <w:rPr>
          <w:rFonts w:ascii="Times New Roman" w:hAnsi="Times New Roman"/>
          <w:color w:val="000000"/>
          <w:sz w:val="24"/>
        </w:rPr>
        <w:t>оставляется акт о вводе оборудования в эксплуатацию, подписываемый представителями обеих сторон.</w:t>
      </w:r>
    </w:p>
    <w:p w:rsidR="00F215EA" w:rsidRDefault="00F215EA" w:rsidP="00F215E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2.4.</w:t>
      </w:r>
      <w:r>
        <w:rPr>
          <w:rFonts w:ascii="Times New Roman" w:hAnsi="Times New Roman"/>
          <w:sz w:val="24"/>
        </w:rPr>
        <w:tab/>
        <w:t>Поставщик направляет Покупателю оригиналы документов, подтверждающих факт отгрузки товара (включая подписанные Поставщиком товарную накладную унифицированной формы ТОРГ-12 и счета–фактуры) одновременно с товаром.</w:t>
      </w:r>
    </w:p>
    <w:p w:rsidR="00F215EA" w:rsidRDefault="00F215EA" w:rsidP="00F215E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Документы, подтверждающие факт отгрузки товара, должны быть оформлены на имя Покупателя.</w:t>
      </w:r>
    </w:p>
    <w:p w:rsidR="00F215EA" w:rsidRDefault="00F215EA" w:rsidP="00F215EA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sz w:val="24"/>
          <w:szCs w:val="24"/>
          <w:lang w:eastAsia="ru-RU"/>
        </w:rPr>
        <w:t>2.5.</w:t>
      </w:r>
      <w:r>
        <w:rPr>
          <w:rFonts w:ascii="Times New Roman" w:eastAsia="Tahoma" w:hAnsi="Times New Roman" w:cs="Times New Roman"/>
          <w:sz w:val="24"/>
          <w:szCs w:val="24"/>
          <w:lang w:eastAsia="ru-RU"/>
        </w:rPr>
        <w:tab/>
        <w:t>Требования к порядку расчётов: авансовый платёж должен составлять не более 50% от общей стоимости поставляемого товара, оставшиеся 50% перечисляются после уведомления о готовности прибора к отгрузке.</w:t>
      </w:r>
    </w:p>
    <w:p w:rsidR="00F215EA" w:rsidRDefault="00F215EA" w:rsidP="00F215EA">
      <w:pPr>
        <w:pStyle w:val="a7"/>
        <w:numPr>
          <w:ilvl w:val="0"/>
          <w:numId w:val="9"/>
        </w:numPr>
        <w:tabs>
          <w:tab w:val="clear" w:pos="0"/>
          <w:tab w:val="num" w:pos="567"/>
          <w:tab w:val="left" w:pos="709"/>
        </w:tabs>
        <w:spacing w:before="160" w:after="0" w:line="240" w:lineRule="auto"/>
        <w:ind w:left="720" w:hanging="1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Участникам:</w:t>
      </w:r>
    </w:p>
    <w:p w:rsidR="00F215EA" w:rsidRDefault="00F215EA" w:rsidP="00F215EA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Участник закупки должен иметь опыт поставки аналогичных товаров не менее 3 лет на дату подачи заявки на участие в данной закупке. </w:t>
      </w:r>
    </w:p>
    <w:p w:rsidR="00F215EA" w:rsidRDefault="00F215EA" w:rsidP="00F215EA">
      <w:pPr>
        <w:tabs>
          <w:tab w:val="left" w:pos="426"/>
          <w:tab w:val="left" w:pos="993"/>
        </w:tabs>
        <w:spacing w:after="1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Желательным является, если участник закупки предоставит в составе своей заявки документы (копии сертификатов, лицензий, свидетельств, справки, подписанные уполномоченным лицом, иные документы), их исключительные права на поставку товара.</w:t>
      </w:r>
    </w:p>
    <w:p w:rsidR="00F215EA" w:rsidRDefault="00F215EA" w:rsidP="00F215EA">
      <w:pPr>
        <w:pStyle w:val="a7"/>
        <w:numPr>
          <w:ilvl w:val="0"/>
          <w:numId w:val="9"/>
        </w:numPr>
        <w:tabs>
          <w:tab w:val="clear" w:pos="0"/>
          <w:tab w:val="num" w:pos="567"/>
          <w:tab w:val="left" w:pos="709"/>
        </w:tabs>
        <w:spacing w:before="160" w:after="0" w:line="240" w:lineRule="auto"/>
        <w:ind w:left="720" w:hanging="1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поставки товаров</w:t>
      </w:r>
    </w:p>
    <w:p w:rsidR="00F215EA" w:rsidRDefault="00F215EA" w:rsidP="00F215EA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Начало оказания услуг: с момента подписания договора, но не ранее 15.10.2024.</w:t>
      </w:r>
    </w:p>
    <w:p w:rsidR="00F215EA" w:rsidRDefault="00F215EA" w:rsidP="00F215EA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 оказания услуг: 31.12.2024.</w:t>
      </w:r>
    </w:p>
    <w:p w:rsidR="00F215EA" w:rsidRDefault="00F215EA" w:rsidP="00F215EA">
      <w:pPr>
        <w:pStyle w:val="a7"/>
        <w:numPr>
          <w:ilvl w:val="0"/>
          <w:numId w:val="9"/>
        </w:numPr>
        <w:tabs>
          <w:tab w:val="clear" w:pos="0"/>
          <w:tab w:val="num" w:pos="567"/>
          <w:tab w:val="left" w:pos="709"/>
        </w:tabs>
        <w:spacing w:before="160" w:after="0" w:line="240" w:lineRule="auto"/>
        <w:ind w:left="720" w:hanging="1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Договора</w:t>
      </w:r>
    </w:p>
    <w:p w:rsidR="00F215EA" w:rsidRDefault="00F215EA" w:rsidP="00F215EA">
      <w:pPr>
        <w:pStyle w:val="a7"/>
        <w:widowControl w:val="0"/>
        <w:numPr>
          <w:ilvl w:val="1"/>
          <w:numId w:val="12"/>
        </w:numPr>
        <w:tabs>
          <w:tab w:val="left" w:pos="1276"/>
        </w:tabs>
        <w:spacing w:before="16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Прикладывается проект договора, в котором должны быть определены условия, не являющиеся критериями оценки и не подлежащие определению в процессе закупки.</w:t>
      </w:r>
    </w:p>
    <w:p w:rsidR="00F215EA" w:rsidRDefault="00F215EA" w:rsidP="00F215EA">
      <w:pPr>
        <w:pStyle w:val="a7"/>
        <w:widowControl w:val="0"/>
        <w:numPr>
          <w:ilvl w:val="1"/>
          <w:numId w:val="12"/>
        </w:numPr>
        <w:tabs>
          <w:tab w:val="left" w:pos="1276"/>
        </w:tabs>
        <w:spacing w:before="16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договора не должен содержать противоречий по отношению к тексту технического задания. В случае наличия таких противоречий положениям технического задания отдаётся приоритет.</w:t>
      </w:r>
    </w:p>
    <w:p w:rsidR="00F215EA" w:rsidRDefault="00F215EA" w:rsidP="00F215EA">
      <w:pPr>
        <w:tabs>
          <w:tab w:val="left" w:pos="709"/>
        </w:tabs>
        <w:spacing w:before="160" w:after="360" w:line="240" w:lineRule="auto"/>
        <w:ind w:left="-1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15EA" w:rsidRDefault="00F215EA" w:rsidP="00F215EA">
      <w:pPr>
        <w:tabs>
          <w:tab w:val="left" w:pos="709"/>
        </w:tabs>
        <w:spacing w:before="160" w:after="360" w:line="240" w:lineRule="auto"/>
        <w:ind w:left="-1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 w:rsidR="00F215EA" w:rsidTr="000520DB">
        <w:tc>
          <w:tcPr>
            <w:tcW w:w="5495" w:type="dxa"/>
          </w:tcPr>
          <w:p w:rsidR="00F215EA" w:rsidRDefault="00F215EA" w:rsidP="000520D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Разработал:</w:t>
            </w:r>
          </w:p>
          <w:p w:rsidR="00F215EA" w:rsidRDefault="00F215EA" w:rsidP="000520D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Старший научный сотрудник ИЦ «Теплотехник»</w:t>
            </w:r>
          </w:p>
        </w:tc>
        <w:tc>
          <w:tcPr>
            <w:tcW w:w="4076" w:type="dxa"/>
          </w:tcPr>
          <w:p w:rsidR="00F215EA" w:rsidRDefault="00F215EA" w:rsidP="00052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215EA" w:rsidRDefault="00F215EA" w:rsidP="000520D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Н.Н. Кузина</w:t>
            </w:r>
          </w:p>
        </w:tc>
      </w:tr>
    </w:tbl>
    <w:p w:rsidR="00F215EA" w:rsidRDefault="00F215EA" w:rsidP="00F215EA">
      <w:pPr>
        <w:spacing w:before="60" w:after="60" w:line="240" w:lineRule="auto"/>
        <w:rPr>
          <w:rFonts w:ascii="Times New Roman" w:hAnsi="Times New Roman" w:cs="Times New Roman"/>
          <w:color w:val="538135" w:themeColor="accent6" w:themeShade="BF"/>
          <w:sz w:val="24"/>
          <w:szCs w:val="24"/>
        </w:rPr>
      </w:pPr>
    </w:p>
    <w:p w:rsidR="00014962" w:rsidRPr="00F215EA" w:rsidRDefault="00014962" w:rsidP="00F215EA">
      <w:bookmarkStart w:id="0" w:name="_GoBack"/>
      <w:bookmarkEnd w:id="0"/>
    </w:p>
    <w:sectPr w:rsidR="00014962" w:rsidRPr="00F215EA" w:rsidSect="00F230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161" w:rsidRDefault="00445161" w:rsidP="000F7627">
      <w:pPr>
        <w:spacing w:after="0" w:line="240" w:lineRule="auto"/>
      </w:pPr>
      <w:r>
        <w:separator/>
      </w:r>
    </w:p>
  </w:endnote>
  <w:endnote w:type="continuationSeparator" w:id="0">
    <w:p w:rsidR="00445161" w:rsidRDefault="00445161" w:rsidP="000F7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06F" w:rsidRDefault="00F2306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047231"/>
      <w:docPartObj>
        <w:docPartGallery w:val="Page Numbers (Bottom of Page)"/>
        <w:docPartUnique/>
      </w:docPartObj>
    </w:sdtPr>
    <w:sdtEndPr/>
    <w:sdtContent>
      <w:p w:rsidR="00F2306F" w:rsidRDefault="00F2306F" w:rsidP="00F2306F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5EA">
          <w:rPr>
            <w:noProof/>
          </w:rPr>
          <w:t>1</w:t>
        </w:r>
        <w:r>
          <w:fldChar w:fldCharType="end"/>
        </w:r>
        <w:r>
          <w:t>-3</w:t>
        </w:r>
      </w:p>
    </w:sdtContent>
  </w:sdt>
  <w:p w:rsidR="00F2306F" w:rsidRDefault="00F2306F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06F" w:rsidRDefault="00F2306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161" w:rsidRDefault="00445161" w:rsidP="000F7627">
      <w:pPr>
        <w:spacing w:after="0" w:line="240" w:lineRule="auto"/>
      </w:pPr>
      <w:r>
        <w:separator/>
      </w:r>
    </w:p>
  </w:footnote>
  <w:footnote w:type="continuationSeparator" w:id="0">
    <w:p w:rsidR="00445161" w:rsidRDefault="00445161" w:rsidP="000F7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06F" w:rsidRDefault="00F2306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06F" w:rsidRDefault="00F2306F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06F" w:rsidRDefault="00F2306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70C2E"/>
    <w:multiLevelType w:val="hybridMultilevel"/>
    <w:tmpl w:val="D1BCBF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31963"/>
    <w:multiLevelType w:val="multilevel"/>
    <w:tmpl w:val="74C2A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DB7218"/>
    <w:multiLevelType w:val="multilevel"/>
    <w:tmpl w:val="C3865D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" w15:restartNumberingAfterBreak="0">
    <w:nsid w:val="2CDE7F8B"/>
    <w:multiLevelType w:val="multilevel"/>
    <w:tmpl w:val="B9AED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F346435"/>
    <w:multiLevelType w:val="hybridMultilevel"/>
    <w:tmpl w:val="122C9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B0EA2"/>
    <w:multiLevelType w:val="hybridMultilevel"/>
    <w:tmpl w:val="122C9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F5266"/>
    <w:multiLevelType w:val="multilevel"/>
    <w:tmpl w:val="D64470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F55A5"/>
    <w:multiLevelType w:val="hybridMultilevel"/>
    <w:tmpl w:val="C660C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30524"/>
    <w:multiLevelType w:val="multilevel"/>
    <w:tmpl w:val="558EB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525"/>
        </w:tabs>
        <w:ind w:left="75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9" w15:restartNumberingAfterBreak="0">
    <w:nsid w:val="5B0A5862"/>
    <w:multiLevelType w:val="multilevel"/>
    <w:tmpl w:val="F69A0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C77C49"/>
    <w:multiLevelType w:val="multilevel"/>
    <w:tmpl w:val="8D4069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88A10B2"/>
    <w:multiLevelType w:val="multilevel"/>
    <w:tmpl w:val="4808AFF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8"/>
  </w:num>
  <w:num w:numId="5">
    <w:abstractNumId w:val="7"/>
  </w:num>
  <w:num w:numId="6">
    <w:abstractNumId w:val="0"/>
  </w:num>
  <w:num w:numId="7">
    <w:abstractNumId w:val="4"/>
  </w:num>
  <w:num w:numId="8">
    <w:abstractNumId w:val="5"/>
  </w:num>
  <w:num w:numId="9">
    <w:abstractNumId w:val="11"/>
  </w:num>
  <w:num w:numId="10">
    <w:abstractNumId w:val="3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9C"/>
    <w:rsid w:val="00014962"/>
    <w:rsid w:val="00024E00"/>
    <w:rsid w:val="00026B07"/>
    <w:rsid w:val="00090F0A"/>
    <w:rsid w:val="000C18D4"/>
    <w:rsid w:val="000D2AFC"/>
    <w:rsid w:val="000F7627"/>
    <w:rsid w:val="00100238"/>
    <w:rsid w:val="00116FA9"/>
    <w:rsid w:val="00123D51"/>
    <w:rsid w:val="00134F28"/>
    <w:rsid w:val="00172A56"/>
    <w:rsid w:val="001A014E"/>
    <w:rsid w:val="001A1BE4"/>
    <w:rsid w:val="001C74EF"/>
    <w:rsid w:val="001D1282"/>
    <w:rsid w:val="001D72FD"/>
    <w:rsid w:val="001E045F"/>
    <w:rsid w:val="001E3F1C"/>
    <w:rsid w:val="001E56A7"/>
    <w:rsid w:val="001F1EED"/>
    <w:rsid w:val="001F419B"/>
    <w:rsid w:val="002225A1"/>
    <w:rsid w:val="00233EEA"/>
    <w:rsid w:val="0023576A"/>
    <w:rsid w:val="00243DA5"/>
    <w:rsid w:val="00261603"/>
    <w:rsid w:val="002C0541"/>
    <w:rsid w:val="003065E3"/>
    <w:rsid w:val="00333E0D"/>
    <w:rsid w:val="003356C0"/>
    <w:rsid w:val="0034685C"/>
    <w:rsid w:val="00357F93"/>
    <w:rsid w:val="00365162"/>
    <w:rsid w:val="003770A2"/>
    <w:rsid w:val="003B5F22"/>
    <w:rsid w:val="003B77D8"/>
    <w:rsid w:val="003C50DE"/>
    <w:rsid w:val="003D065E"/>
    <w:rsid w:val="003D2D65"/>
    <w:rsid w:val="00402EEC"/>
    <w:rsid w:val="00410B7F"/>
    <w:rsid w:val="004426F1"/>
    <w:rsid w:val="00445161"/>
    <w:rsid w:val="004505C8"/>
    <w:rsid w:val="00461CBE"/>
    <w:rsid w:val="00464028"/>
    <w:rsid w:val="0046505C"/>
    <w:rsid w:val="004730F9"/>
    <w:rsid w:val="0048478E"/>
    <w:rsid w:val="00496A58"/>
    <w:rsid w:val="004B05C8"/>
    <w:rsid w:val="004B2FCE"/>
    <w:rsid w:val="004D0959"/>
    <w:rsid w:val="004E0909"/>
    <w:rsid w:val="004E2854"/>
    <w:rsid w:val="00500571"/>
    <w:rsid w:val="005024EF"/>
    <w:rsid w:val="005374EE"/>
    <w:rsid w:val="0055115C"/>
    <w:rsid w:val="00586FB0"/>
    <w:rsid w:val="0059548C"/>
    <w:rsid w:val="005B1A5E"/>
    <w:rsid w:val="005C2C4B"/>
    <w:rsid w:val="005D228C"/>
    <w:rsid w:val="005D3497"/>
    <w:rsid w:val="0060349A"/>
    <w:rsid w:val="0061264A"/>
    <w:rsid w:val="00616640"/>
    <w:rsid w:val="00642DCA"/>
    <w:rsid w:val="00666FA0"/>
    <w:rsid w:val="006857AC"/>
    <w:rsid w:val="006901C9"/>
    <w:rsid w:val="006975C3"/>
    <w:rsid w:val="006B07D5"/>
    <w:rsid w:val="006C06D2"/>
    <w:rsid w:val="006D5F0E"/>
    <w:rsid w:val="0072228F"/>
    <w:rsid w:val="0073797D"/>
    <w:rsid w:val="00737DA3"/>
    <w:rsid w:val="00741D37"/>
    <w:rsid w:val="00753DC3"/>
    <w:rsid w:val="007547C8"/>
    <w:rsid w:val="0077728A"/>
    <w:rsid w:val="00782805"/>
    <w:rsid w:val="007A05AF"/>
    <w:rsid w:val="007A3119"/>
    <w:rsid w:val="007B68A5"/>
    <w:rsid w:val="007C17EA"/>
    <w:rsid w:val="007C3341"/>
    <w:rsid w:val="007D466B"/>
    <w:rsid w:val="007D689F"/>
    <w:rsid w:val="007E3AD8"/>
    <w:rsid w:val="00820175"/>
    <w:rsid w:val="00853F72"/>
    <w:rsid w:val="00871250"/>
    <w:rsid w:val="008730B7"/>
    <w:rsid w:val="00886542"/>
    <w:rsid w:val="008B23AB"/>
    <w:rsid w:val="008B2549"/>
    <w:rsid w:val="008C543B"/>
    <w:rsid w:val="008D2919"/>
    <w:rsid w:val="008D4120"/>
    <w:rsid w:val="008E6224"/>
    <w:rsid w:val="008F63AD"/>
    <w:rsid w:val="00903FF7"/>
    <w:rsid w:val="00917023"/>
    <w:rsid w:val="00957959"/>
    <w:rsid w:val="009670FE"/>
    <w:rsid w:val="00970576"/>
    <w:rsid w:val="009A0775"/>
    <w:rsid w:val="009A407B"/>
    <w:rsid w:val="009B270F"/>
    <w:rsid w:val="009B4445"/>
    <w:rsid w:val="009C7668"/>
    <w:rsid w:val="009D5AD4"/>
    <w:rsid w:val="009E17C9"/>
    <w:rsid w:val="00A0608E"/>
    <w:rsid w:val="00A118B0"/>
    <w:rsid w:val="00A122E6"/>
    <w:rsid w:val="00A17B13"/>
    <w:rsid w:val="00A21781"/>
    <w:rsid w:val="00A24088"/>
    <w:rsid w:val="00A27021"/>
    <w:rsid w:val="00A37435"/>
    <w:rsid w:val="00A427B6"/>
    <w:rsid w:val="00A44AC3"/>
    <w:rsid w:val="00A67EEB"/>
    <w:rsid w:val="00A92D1D"/>
    <w:rsid w:val="00A95C9C"/>
    <w:rsid w:val="00AC4EEF"/>
    <w:rsid w:val="00AE2720"/>
    <w:rsid w:val="00B037FA"/>
    <w:rsid w:val="00B03838"/>
    <w:rsid w:val="00B060B3"/>
    <w:rsid w:val="00B118F9"/>
    <w:rsid w:val="00B55319"/>
    <w:rsid w:val="00B67728"/>
    <w:rsid w:val="00B93FD5"/>
    <w:rsid w:val="00BC137B"/>
    <w:rsid w:val="00BD71C9"/>
    <w:rsid w:val="00BE0B89"/>
    <w:rsid w:val="00BF687B"/>
    <w:rsid w:val="00C05064"/>
    <w:rsid w:val="00C2551B"/>
    <w:rsid w:val="00C31614"/>
    <w:rsid w:val="00C34448"/>
    <w:rsid w:val="00C37B14"/>
    <w:rsid w:val="00C4280F"/>
    <w:rsid w:val="00C600CC"/>
    <w:rsid w:val="00C816C8"/>
    <w:rsid w:val="00CB2898"/>
    <w:rsid w:val="00CB37AF"/>
    <w:rsid w:val="00CE5C1E"/>
    <w:rsid w:val="00CF6888"/>
    <w:rsid w:val="00D07BC5"/>
    <w:rsid w:val="00D12EDE"/>
    <w:rsid w:val="00D317AD"/>
    <w:rsid w:val="00D43FC2"/>
    <w:rsid w:val="00D51DFC"/>
    <w:rsid w:val="00D61734"/>
    <w:rsid w:val="00D804E8"/>
    <w:rsid w:val="00D82EF0"/>
    <w:rsid w:val="00DA7219"/>
    <w:rsid w:val="00E1480D"/>
    <w:rsid w:val="00E15C0C"/>
    <w:rsid w:val="00E21AE0"/>
    <w:rsid w:val="00E364DC"/>
    <w:rsid w:val="00E418CB"/>
    <w:rsid w:val="00E45528"/>
    <w:rsid w:val="00E66597"/>
    <w:rsid w:val="00E756EC"/>
    <w:rsid w:val="00E94893"/>
    <w:rsid w:val="00E965FA"/>
    <w:rsid w:val="00EA0AB7"/>
    <w:rsid w:val="00EA3D08"/>
    <w:rsid w:val="00EB165C"/>
    <w:rsid w:val="00EC0FAD"/>
    <w:rsid w:val="00EC2E7E"/>
    <w:rsid w:val="00ED1A8B"/>
    <w:rsid w:val="00EF6ADE"/>
    <w:rsid w:val="00EF6CD1"/>
    <w:rsid w:val="00F16E0E"/>
    <w:rsid w:val="00F215EA"/>
    <w:rsid w:val="00F2306F"/>
    <w:rsid w:val="00F30782"/>
    <w:rsid w:val="00F42E7A"/>
    <w:rsid w:val="00F50294"/>
    <w:rsid w:val="00F81EE4"/>
    <w:rsid w:val="00F8535C"/>
    <w:rsid w:val="00F86A66"/>
    <w:rsid w:val="00FB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7DF99A-7A20-4424-BBA4-354CEF3D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5EA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9E17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A95C9C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95C9C"/>
    <w:rPr>
      <w:rFonts w:ascii="Times New Roman" w:eastAsia="Times New Roman" w:hAnsi="Times New Roman" w:cs="Times New Roman"/>
      <w:b/>
      <w:bCs/>
      <w:i/>
      <w:iCs/>
      <w:spacing w:val="-1"/>
      <w:sz w:val="21"/>
      <w:szCs w:val="21"/>
      <w:shd w:val="clear" w:color="auto" w:fill="FFFFFF"/>
    </w:rPr>
  </w:style>
  <w:style w:type="character" w:customStyle="1" w:styleId="3">
    <w:name w:val="Заголовок №3_"/>
    <w:basedOn w:val="a0"/>
    <w:link w:val="30"/>
    <w:rsid w:val="00A95C9C"/>
    <w:rPr>
      <w:rFonts w:ascii="Times New Roman" w:eastAsia="Times New Roman" w:hAnsi="Times New Roman" w:cs="Times New Roman"/>
      <w:b/>
      <w:bCs/>
      <w:spacing w:val="-2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A95C9C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3Sylfaen6pt0pt">
    <w:name w:val="Основной текст (3) + Sylfaen;6 pt;Курсив;Интервал 0 pt"/>
    <w:basedOn w:val="31"/>
    <w:rsid w:val="00A95C9C"/>
    <w:rPr>
      <w:rFonts w:ascii="Sylfaen" w:eastAsia="Sylfaen" w:hAnsi="Sylfaen" w:cs="Sylfaen"/>
      <w:i/>
      <w:iCs/>
      <w:color w:val="000000"/>
      <w:spacing w:val="6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3"/>
    <w:rsid w:val="00A95C9C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pacing w:val="-2"/>
    </w:rPr>
  </w:style>
  <w:style w:type="paragraph" w:customStyle="1" w:styleId="20">
    <w:name w:val="Основной текст (2)"/>
    <w:basedOn w:val="a"/>
    <w:link w:val="2"/>
    <w:rsid w:val="00A95C9C"/>
    <w:pPr>
      <w:widowControl w:val="0"/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-1"/>
      <w:sz w:val="21"/>
      <w:szCs w:val="21"/>
    </w:rPr>
  </w:style>
  <w:style w:type="paragraph" w:customStyle="1" w:styleId="30">
    <w:name w:val="Заголовок №3"/>
    <w:basedOn w:val="a"/>
    <w:link w:val="3"/>
    <w:rsid w:val="00A95C9C"/>
    <w:pPr>
      <w:widowControl w:val="0"/>
      <w:shd w:val="clear" w:color="auto" w:fill="FFFFFF"/>
      <w:spacing w:before="114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-2"/>
    </w:rPr>
  </w:style>
  <w:style w:type="paragraph" w:customStyle="1" w:styleId="32">
    <w:name w:val="Основной текст (3)"/>
    <w:basedOn w:val="a"/>
    <w:link w:val="31"/>
    <w:rsid w:val="00A95C9C"/>
    <w:pPr>
      <w:widowControl w:val="0"/>
      <w:shd w:val="clear" w:color="auto" w:fill="FFFFFF"/>
      <w:spacing w:before="300" w:after="420"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styleId="a4">
    <w:name w:val="Balloon Text"/>
    <w:basedOn w:val="a"/>
    <w:link w:val="a5"/>
    <w:uiPriority w:val="99"/>
    <w:semiHidden/>
    <w:unhideWhenUsed/>
    <w:rsid w:val="009C7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766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9C7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E17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link w:val="a8"/>
    <w:uiPriority w:val="34"/>
    <w:qFormat/>
    <w:rsid w:val="009E17C9"/>
    <w:pPr>
      <w:ind w:left="720"/>
      <w:contextualSpacing/>
    </w:pPr>
  </w:style>
  <w:style w:type="paragraph" w:customStyle="1" w:styleId="21">
    <w:name w:val="Основной текст2"/>
    <w:basedOn w:val="a"/>
    <w:rsid w:val="001E56A7"/>
    <w:pPr>
      <w:widowControl w:val="0"/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color w:val="000000"/>
      <w:sz w:val="23"/>
      <w:szCs w:val="23"/>
      <w:lang w:eastAsia="ru-RU" w:bidi="ru-RU"/>
    </w:rPr>
  </w:style>
  <w:style w:type="paragraph" w:styleId="a9">
    <w:name w:val="header"/>
    <w:basedOn w:val="a"/>
    <w:link w:val="aa"/>
    <w:uiPriority w:val="99"/>
    <w:unhideWhenUsed/>
    <w:rsid w:val="00402EE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402EEC"/>
    <w:rPr>
      <w:rFonts w:ascii="Calibri" w:eastAsia="Calibri" w:hAnsi="Calibri" w:cs="Times New Roman"/>
    </w:rPr>
  </w:style>
  <w:style w:type="paragraph" w:styleId="ab">
    <w:name w:val="footnote text"/>
    <w:basedOn w:val="a"/>
    <w:link w:val="ac"/>
    <w:uiPriority w:val="99"/>
    <w:semiHidden/>
    <w:unhideWhenUsed/>
    <w:rsid w:val="000F7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0F76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0F7627"/>
    <w:rPr>
      <w:vertAlign w:val="superscript"/>
    </w:rPr>
  </w:style>
  <w:style w:type="paragraph" w:styleId="ae">
    <w:name w:val="footer"/>
    <w:basedOn w:val="a"/>
    <w:link w:val="af"/>
    <w:uiPriority w:val="99"/>
    <w:unhideWhenUsed/>
    <w:rsid w:val="00F23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2306F"/>
  </w:style>
  <w:style w:type="character" w:customStyle="1" w:styleId="a8">
    <w:name w:val="Абзац списка Знак"/>
    <w:link w:val="a7"/>
    <w:uiPriority w:val="34"/>
    <w:rsid w:val="00F215EA"/>
  </w:style>
  <w:style w:type="paragraph" w:customStyle="1" w:styleId="Default">
    <w:name w:val="Default"/>
    <w:rsid w:val="00F215EA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2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4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1281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Антон Владимирович</dc:creator>
  <cp:lastModifiedBy>Федорченко Дмитрий Владимирович</cp:lastModifiedBy>
  <cp:revision>3</cp:revision>
  <dcterms:created xsi:type="dcterms:W3CDTF">2024-03-05T06:42:00Z</dcterms:created>
  <dcterms:modified xsi:type="dcterms:W3CDTF">2024-09-27T11:36:00Z</dcterms:modified>
</cp:coreProperties>
</file>